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75"/>
      </w:tblGrid>
      <w:tr w:rsidR="00B22ADF" w:rsidRPr="00B22ADF" w14:paraId="24A5CEC1" w14:textId="77777777" w:rsidTr="00B22ADF">
        <w:tc>
          <w:tcPr>
            <w:tcW w:w="5637" w:type="dxa"/>
          </w:tcPr>
          <w:p w14:paraId="39701245" w14:textId="77777777" w:rsidR="00B22ADF" w:rsidRPr="00B22ADF" w:rsidRDefault="00F66366" w:rsidP="00B22ADF">
            <w:pPr>
              <w:jc w:val="center"/>
              <w:rPr>
                <w:rFonts w:ascii="Calibri" w:hAnsi="Calibri"/>
                <w:b/>
                <w:i/>
                <w:color w:val="3366FF"/>
                <w:u w:val="single"/>
              </w:rPr>
            </w:pPr>
            <w:r>
              <w:rPr>
                <w:noProof/>
                <w:lang w:eastAsia="fr-FR"/>
              </w:rPr>
              <w:drawing>
                <wp:anchor distT="0" distB="0" distL="114300" distR="114300" simplePos="0" relativeHeight="251663360" behindDoc="0" locked="0" layoutInCell="1" allowOverlap="1" wp14:anchorId="72BA1AF9" wp14:editId="68A9B9BE">
                  <wp:simplePos x="0" y="0"/>
                  <wp:positionH relativeFrom="column">
                    <wp:posOffset>-567286</wp:posOffset>
                  </wp:positionH>
                  <wp:positionV relativeFrom="paragraph">
                    <wp:posOffset>-340715</wp:posOffset>
                  </wp:positionV>
                  <wp:extent cx="2220686" cy="479778"/>
                  <wp:effectExtent l="19050" t="0" r="8164"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rmadys.jpg"/>
                          <pic:cNvPicPr/>
                        </pic:nvPicPr>
                        <pic:blipFill>
                          <a:blip r:embed="rId5">
                            <a:extLst>
                              <a:ext uri="{28A0092B-C50C-407E-A947-70E740481C1C}">
                                <a14:useLocalDpi xmlns:a14="http://schemas.microsoft.com/office/drawing/2010/main" val="0"/>
                              </a:ext>
                            </a:extLst>
                          </a:blip>
                          <a:stretch>
                            <a:fillRect/>
                          </a:stretch>
                        </pic:blipFill>
                        <pic:spPr>
                          <a:xfrm>
                            <a:off x="0" y="0"/>
                            <a:ext cx="2223895" cy="480471"/>
                          </a:xfrm>
                          <a:prstGeom prst="rect">
                            <a:avLst/>
                          </a:prstGeom>
                          <a:extLst>
                            <a:ext uri="{FAA26D3D-D897-4be2-8F04-BA451C77F1D7}">
                              <ma14:placeholderFlag xmlns:ma14="http://schemas.microsoft.com/office/mac/drawingml/2011/main"/>
                            </a:ext>
                          </a:extLst>
                        </pic:spPr>
                      </pic:pic>
                    </a:graphicData>
                  </a:graphic>
                </wp:anchor>
              </w:drawing>
            </w:r>
          </w:p>
        </w:tc>
        <w:tc>
          <w:tcPr>
            <w:tcW w:w="3575" w:type="dxa"/>
          </w:tcPr>
          <w:p w14:paraId="1B79A46E" w14:textId="77777777" w:rsidR="00B22ADF" w:rsidRPr="00B22ADF" w:rsidRDefault="00F66366" w:rsidP="00B22ADF">
            <w:pPr>
              <w:jc w:val="center"/>
              <w:rPr>
                <w:b/>
                <w:i/>
                <w:color w:val="3366FF"/>
                <w:u w:val="single"/>
              </w:rPr>
            </w:pPr>
            <w:r>
              <w:rPr>
                <w:b/>
                <w:i/>
                <w:noProof/>
                <w:color w:val="3366FF"/>
                <w:u w:val="single"/>
                <w:lang w:eastAsia="fr-FR"/>
              </w:rPr>
              <w:drawing>
                <wp:anchor distT="0" distB="0" distL="114300" distR="114300" simplePos="0" relativeHeight="251664384" behindDoc="0" locked="0" layoutInCell="1" allowOverlap="1" wp14:anchorId="52478E75" wp14:editId="1E30EF94">
                  <wp:simplePos x="0" y="0"/>
                  <wp:positionH relativeFrom="column">
                    <wp:posOffset>2035562</wp:posOffset>
                  </wp:positionH>
                  <wp:positionV relativeFrom="paragraph">
                    <wp:posOffset>-685099</wp:posOffset>
                  </wp:positionV>
                  <wp:extent cx="914021" cy="1377537"/>
                  <wp:effectExtent l="19050" t="0" r="379"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655-584a4.png"/>
                          <pic:cNvPicPr/>
                        </pic:nvPicPr>
                        <pic:blipFill>
                          <a:blip r:embed="rId6">
                            <a:extLst>
                              <a:ext uri="{28A0092B-C50C-407E-A947-70E740481C1C}">
                                <a14:useLocalDpi xmlns:a14="http://schemas.microsoft.com/office/drawing/2010/main" val="0"/>
                              </a:ext>
                            </a:extLst>
                          </a:blip>
                          <a:stretch>
                            <a:fillRect/>
                          </a:stretch>
                        </pic:blipFill>
                        <pic:spPr>
                          <a:xfrm>
                            <a:off x="0" y="0"/>
                            <a:ext cx="914021" cy="1377537"/>
                          </a:xfrm>
                          <a:prstGeom prst="rect">
                            <a:avLst/>
                          </a:prstGeom>
                          <a:extLst>
                            <a:ext uri="{FAA26D3D-D897-4be2-8F04-BA451C77F1D7}">
                              <ma14:placeholderFlag xmlns:ma14="http://schemas.microsoft.com/office/mac/drawingml/2011/main"/>
                            </a:ext>
                          </a:extLst>
                        </pic:spPr>
                      </pic:pic>
                    </a:graphicData>
                  </a:graphic>
                </wp:anchor>
              </w:drawing>
            </w:r>
          </w:p>
        </w:tc>
      </w:tr>
    </w:tbl>
    <w:p w14:paraId="07F97DD6" w14:textId="77777777" w:rsidR="00B22ADF" w:rsidRPr="00F66366" w:rsidRDefault="00F66366" w:rsidP="00B22ADF">
      <w:pPr>
        <w:pStyle w:val="Titre2"/>
        <w:pBdr>
          <w:top w:val="single" w:sz="4" w:space="1" w:color="0000FF"/>
          <w:left w:val="single" w:sz="4" w:space="4" w:color="0000FF"/>
          <w:bottom w:val="single" w:sz="4" w:space="1" w:color="0000FF"/>
          <w:right w:val="single" w:sz="4" w:space="4" w:color="0000FF"/>
        </w:pBdr>
        <w:shd w:val="clear" w:color="auto" w:fill="DBE5F1" w:themeFill="accent1" w:themeFillTint="33"/>
        <w:rPr>
          <w:rFonts w:ascii="Calibri" w:hAnsi="Calibri"/>
          <w:color w:val="3366FF"/>
          <w:sz w:val="28"/>
        </w:rPr>
      </w:pPr>
      <w:r>
        <w:rPr>
          <w:rFonts w:ascii="Calibri" w:hAnsi="Calibri"/>
          <w:color w:val="3366FF"/>
          <w:sz w:val="36"/>
        </w:rPr>
        <w:t xml:space="preserve">L’apprentissage et ses troubles : l’apport des </w:t>
      </w:r>
      <w:r w:rsidR="00B22ADF" w:rsidRPr="00F66366">
        <w:rPr>
          <w:rFonts w:ascii="Calibri" w:hAnsi="Calibri"/>
          <w:color w:val="3366FF"/>
          <w:sz w:val="36"/>
        </w:rPr>
        <w:t>Neuroscience</w:t>
      </w:r>
      <w:r>
        <w:rPr>
          <w:rFonts w:ascii="Calibri" w:hAnsi="Calibri"/>
          <w:color w:val="3366FF"/>
          <w:sz w:val="36"/>
        </w:rPr>
        <w:t>s</w:t>
      </w:r>
      <w:r w:rsidR="00B22ADF" w:rsidRPr="00F66366">
        <w:rPr>
          <w:rFonts w:ascii="Calibri" w:hAnsi="Calibri"/>
          <w:color w:val="3366FF"/>
          <w:sz w:val="36"/>
        </w:rPr>
        <w:t xml:space="preserve"> et </w:t>
      </w:r>
      <w:r>
        <w:rPr>
          <w:rFonts w:ascii="Calibri" w:hAnsi="Calibri"/>
          <w:color w:val="3366FF"/>
          <w:sz w:val="36"/>
        </w:rPr>
        <w:t>de la N</w:t>
      </w:r>
      <w:r w:rsidR="00B22ADF" w:rsidRPr="00F66366">
        <w:rPr>
          <w:rFonts w:ascii="Calibri" w:hAnsi="Calibri"/>
          <w:color w:val="3366FF"/>
          <w:sz w:val="36"/>
        </w:rPr>
        <w:t xml:space="preserve">europsychologie </w:t>
      </w:r>
    </w:p>
    <w:p w14:paraId="095D254E" w14:textId="77777777" w:rsidR="00F66366" w:rsidRPr="00F66366" w:rsidRDefault="00F66366" w:rsidP="00F66366">
      <w:pPr>
        <w:pStyle w:val="Titre1"/>
        <w:jc w:val="center"/>
        <w:rPr>
          <w:color w:val="auto"/>
        </w:rPr>
      </w:pPr>
      <w:r w:rsidRPr="00F66366">
        <w:rPr>
          <w:color w:val="auto"/>
        </w:rPr>
        <w:t>Cycle de formations « à la carte » par l’équipe de Formadys-Résodys</w:t>
      </w:r>
    </w:p>
    <w:p w14:paraId="556CDB68" w14:textId="77777777" w:rsidR="00B22ADF" w:rsidRDefault="00B22ADF"/>
    <w:p w14:paraId="4C29F5DA" w14:textId="77777777" w:rsidR="00F66366" w:rsidRPr="00F66366" w:rsidRDefault="00F66366" w:rsidP="00F66366">
      <w:pPr>
        <w:jc w:val="both"/>
        <w:rPr>
          <w:rFonts w:ascii="Calibri" w:hAnsi="Calibri"/>
          <w:color w:val="3366FF"/>
        </w:rPr>
      </w:pPr>
      <w:r w:rsidRPr="00F66366">
        <w:rPr>
          <w:rFonts w:ascii="Calibri" w:hAnsi="Calibri"/>
          <w:color w:val="3366FF"/>
        </w:rPr>
        <w:t xml:space="preserve">Votre pratique </w:t>
      </w:r>
      <w:r w:rsidR="00E33BFA">
        <w:rPr>
          <w:rFonts w:ascii="Calibri" w:hAnsi="Calibri"/>
          <w:color w:val="3366FF"/>
        </w:rPr>
        <w:t xml:space="preserve">de soignant, </w:t>
      </w:r>
      <w:r w:rsidRPr="00F66366">
        <w:rPr>
          <w:rFonts w:ascii="Calibri" w:hAnsi="Calibri"/>
          <w:color w:val="3366FF"/>
        </w:rPr>
        <w:t>d’éducateur, d’enseignant, de psychologue, de travailleur social, de formateur auprès de personnes, enfants ou adultes, en difficulté d’apprentissage, vous amène à vous interroger sur les causes et mécanismes de ces difficultés : mieux les comprendre pour mieux les prendre en charge? Une partie de la réponse se trouve sans doute dans les avancées récentes des neurosciences sur l’apprentissage et ses troubles.</w:t>
      </w:r>
    </w:p>
    <w:p w14:paraId="00C99A92" w14:textId="77777777" w:rsidR="00F66366" w:rsidRDefault="00F66366" w:rsidP="00F66366">
      <w:pPr>
        <w:jc w:val="both"/>
      </w:pPr>
      <w:r>
        <w:t>Mais  parmi la masse des informations dont nous sommes inondés chaque jour dans les médias, spécialisés ou non, quelles sont celles qui peuvent nous apporter un réel plus dans notre pratique professionnelle?</w:t>
      </w:r>
    </w:p>
    <w:p w14:paraId="513B7581" w14:textId="77777777" w:rsidR="00F66366" w:rsidRDefault="00F66366" w:rsidP="00F66366">
      <w:pPr>
        <w:jc w:val="both"/>
      </w:pPr>
      <w:r>
        <w:t>C’est pour répondre à cette demande spécifique et légitime de tous les acteurs du monde médical, paramédical, enseignant, éducatif, et social, de plus en plus souvent confrontés dans leur pratique à des personnes en difficultés d’apprentissage</w:t>
      </w:r>
      <w:r w:rsidR="00E33BFA">
        <w:t>,</w:t>
      </w:r>
      <w:r>
        <w:t xml:space="preserve"> que Formadys-Résodys, structure de formation dédiée à l’apprentissage et ses troubles, a mis au point une formule originale de </w:t>
      </w:r>
      <w:r w:rsidRPr="00042918">
        <w:rPr>
          <w:i/>
        </w:rPr>
        <w:t>cycle de formations à la carte</w:t>
      </w:r>
      <w:r>
        <w:t>, sollicitant les meilleurs spécialistes et formateurs de la région pour apporter les réponses au plus près de la pratique de chacun.</w:t>
      </w:r>
    </w:p>
    <w:p w14:paraId="7117C4FB" w14:textId="77777777" w:rsidR="00F66366" w:rsidRDefault="00F66366" w:rsidP="00F66366">
      <w:pPr>
        <w:jc w:val="both"/>
      </w:pPr>
      <w:r>
        <w:t xml:space="preserve">La première session de ce cycle est une introduction générale proposée par trois spécialistes : un neurologue, une orthophoniste et une psychologue, qui posent les bases terminologiques, nosographiques et théoriques indispensables à la compréhension de l’apport majeur des neurosciences et de la neuropsychologie à la question. Les sessions suivantes seront en fait proposées en fonction de la demande émanant des participants eux-mêmes, demande qui émergera progressivement des premières réponses qu’ils auront pu recevoir à leurs questionnements. Elles comporteront systématiquement une partie d’évaluation des pratiques pour satisfaire aux exigences de formation continue des professionnels (DPC). Surtout, elles seront envisagées sur un mode de la pédagogie active, où chaque stagiaire est du début à la fin l’acteur principal de sa propre formation. </w:t>
      </w:r>
    </w:p>
    <w:p w14:paraId="37ECC4CC" w14:textId="77777777" w:rsidR="00F66366" w:rsidRDefault="00F66366" w:rsidP="00F66366">
      <w:pPr>
        <w:jc w:val="both"/>
      </w:pPr>
      <w:r>
        <w:t xml:space="preserve">Ici, pas de recettes. Pas de solutions toutes faites. Seulement la volonté de faire progresser chacun dans sa pratique en fonction de ses besoins et de ses souhaits, mais dans une perspective résolument moderne et </w:t>
      </w:r>
      <w:r w:rsidR="00E33BFA">
        <w:t>multidisciplinaire.</w:t>
      </w:r>
    </w:p>
    <w:p w14:paraId="1146AA71" w14:textId="77777777" w:rsidR="00B22ADF" w:rsidRDefault="00B22ADF"/>
    <w:p w14:paraId="5F056CD8" w14:textId="77777777" w:rsidR="00B22ADF" w:rsidRDefault="00B22ADF"/>
    <w:p w14:paraId="6E2D725B" w14:textId="77777777" w:rsidR="00B22ADF" w:rsidRDefault="00B22ADF"/>
    <w:p w14:paraId="60890FBB" w14:textId="77777777" w:rsidR="00B22ADF" w:rsidRDefault="00B22ADF"/>
    <w:p w14:paraId="247528AC" w14:textId="77777777" w:rsidR="0033435E" w:rsidRDefault="0033435E"/>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75"/>
      </w:tblGrid>
      <w:tr w:rsidR="00B22ADF" w:rsidRPr="00B22ADF" w14:paraId="197788E4" w14:textId="77777777" w:rsidTr="00B22ADF">
        <w:tc>
          <w:tcPr>
            <w:tcW w:w="5637" w:type="dxa"/>
          </w:tcPr>
          <w:p w14:paraId="052D70BF" w14:textId="77777777" w:rsidR="008157AB" w:rsidRDefault="008157AB" w:rsidP="00B22ADF">
            <w:pPr>
              <w:jc w:val="center"/>
              <w:rPr>
                <w:rFonts w:ascii="Calibri" w:hAnsi="Calibri"/>
                <w:b/>
                <w:i/>
                <w:color w:val="3366FF"/>
                <w:u w:val="single"/>
              </w:rPr>
            </w:pPr>
          </w:p>
          <w:p w14:paraId="3B4B13DF" w14:textId="77777777" w:rsidR="008157AB" w:rsidRDefault="008157AB" w:rsidP="00B22ADF">
            <w:pPr>
              <w:jc w:val="center"/>
              <w:rPr>
                <w:rFonts w:ascii="Calibri" w:hAnsi="Calibri"/>
                <w:b/>
                <w:i/>
                <w:color w:val="3366FF"/>
                <w:u w:val="single"/>
              </w:rPr>
            </w:pPr>
          </w:p>
          <w:p w14:paraId="4A462C9A" w14:textId="77777777" w:rsidR="008157AB" w:rsidRDefault="008157AB" w:rsidP="00B22ADF">
            <w:pPr>
              <w:jc w:val="center"/>
              <w:rPr>
                <w:rFonts w:ascii="Calibri" w:hAnsi="Calibri"/>
                <w:b/>
                <w:i/>
                <w:color w:val="3366FF"/>
                <w:u w:val="single"/>
              </w:rPr>
            </w:pPr>
          </w:p>
          <w:p w14:paraId="0129DA94" w14:textId="77777777" w:rsidR="00B22ADF" w:rsidRPr="00B22ADF" w:rsidRDefault="008157AB" w:rsidP="00B22ADF">
            <w:pPr>
              <w:jc w:val="center"/>
              <w:rPr>
                <w:rFonts w:ascii="Calibri" w:hAnsi="Calibri"/>
                <w:b/>
                <w:i/>
                <w:color w:val="3366FF"/>
                <w:u w:val="single"/>
              </w:rPr>
            </w:pPr>
            <w:r>
              <w:rPr>
                <w:rFonts w:ascii="Calibri" w:hAnsi="Calibri"/>
                <w:b/>
                <w:i/>
                <w:noProof/>
                <w:color w:val="3366FF"/>
                <w:u w:val="single"/>
                <w:lang w:eastAsia="fr-FR"/>
              </w:rPr>
              <w:drawing>
                <wp:anchor distT="0" distB="0" distL="114300" distR="114300" simplePos="0" relativeHeight="251660288" behindDoc="0" locked="0" layoutInCell="1" allowOverlap="1" wp14:anchorId="5663C8C5" wp14:editId="4D1A1CC2">
                  <wp:simplePos x="0" y="0"/>
                  <wp:positionH relativeFrom="column">
                    <wp:posOffset>5614648</wp:posOffset>
                  </wp:positionH>
                  <wp:positionV relativeFrom="paragraph">
                    <wp:posOffset>-578835</wp:posOffset>
                  </wp:positionV>
                  <wp:extent cx="907941" cy="1371600"/>
                  <wp:effectExtent l="19050" t="0" r="6459"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655-584a4.png"/>
                          <pic:cNvPicPr/>
                        </pic:nvPicPr>
                        <pic:blipFill>
                          <a:blip r:embed="rId6">
                            <a:extLst>
                              <a:ext uri="{28A0092B-C50C-407E-A947-70E740481C1C}">
                                <a14:useLocalDpi xmlns:a14="http://schemas.microsoft.com/office/drawing/2010/main" val="0"/>
                              </a:ext>
                            </a:extLst>
                          </a:blip>
                          <a:stretch>
                            <a:fillRect/>
                          </a:stretch>
                        </pic:blipFill>
                        <pic:spPr>
                          <a:xfrm>
                            <a:off x="0" y="0"/>
                            <a:ext cx="907941" cy="1371600"/>
                          </a:xfrm>
                          <a:prstGeom prst="rect">
                            <a:avLst/>
                          </a:prstGeom>
                          <a:extLst>
                            <a:ext uri="{FAA26D3D-D897-4be2-8F04-BA451C77F1D7}">
                              <ma14:placeholderFlag xmlns:ma14="http://schemas.microsoft.com/office/mac/drawingml/2011/main"/>
                            </a:ext>
                          </a:extLst>
                        </pic:spPr>
                      </pic:pic>
                    </a:graphicData>
                  </a:graphic>
                </wp:anchor>
              </w:drawing>
            </w:r>
            <w:r w:rsidR="00B22ADF" w:rsidRPr="00B22ADF">
              <w:rPr>
                <w:rFonts w:ascii="Calibri" w:hAnsi="Calibri"/>
                <w:b/>
                <w:i/>
                <w:color w:val="3366FF"/>
                <w:u w:val="single"/>
              </w:rPr>
              <w:t xml:space="preserve">Cycle </w:t>
            </w:r>
            <w:r w:rsidR="00B658D0">
              <w:rPr>
                <w:rFonts w:ascii="Calibri" w:hAnsi="Calibri"/>
                <w:b/>
                <w:i/>
                <w:color w:val="3366FF"/>
                <w:u w:val="single"/>
              </w:rPr>
              <w:t xml:space="preserve">de formations : Neuroscience et </w:t>
            </w:r>
            <w:r w:rsidR="00B22ADF" w:rsidRPr="00B22ADF">
              <w:rPr>
                <w:rFonts w:ascii="Calibri" w:hAnsi="Calibri"/>
                <w:b/>
                <w:i/>
                <w:color w:val="3366FF"/>
                <w:u w:val="single"/>
              </w:rPr>
              <w:t>neuropsychologie des troubles d’apprentissage </w:t>
            </w:r>
          </w:p>
        </w:tc>
        <w:tc>
          <w:tcPr>
            <w:tcW w:w="3575" w:type="dxa"/>
          </w:tcPr>
          <w:p w14:paraId="3DB30FF2" w14:textId="77777777" w:rsidR="00B22ADF" w:rsidRPr="00B22ADF" w:rsidRDefault="00B22ADF" w:rsidP="00B22ADF">
            <w:pPr>
              <w:jc w:val="center"/>
              <w:rPr>
                <w:b/>
                <w:i/>
                <w:color w:val="3366FF"/>
                <w:u w:val="single"/>
              </w:rPr>
            </w:pPr>
          </w:p>
        </w:tc>
      </w:tr>
    </w:tbl>
    <w:p w14:paraId="19CB46D5" w14:textId="77777777" w:rsidR="00C13387" w:rsidRPr="001126C1" w:rsidRDefault="00F66366" w:rsidP="00B22ADF">
      <w:pPr>
        <w:pStyle w:val="Titre2"/>
        <w:pBdr>
          <w:top w:val="single" w:sz="4" w:space="1" w:color="0000FF"/>
          <w:left w:val="single" w:sz="4" w:space="4" w:color="0000FF"/>
          <w:bottom w:val="single" w:sz="4" w:space="1" w:color="0000FF"/>
          <w:right w:val="single" w:sz="4" w:space="4" w:color="0000FF"/>
        </w:pBdr>
        <w:shd w:val="clear" w:color="auto" w:fill="DBE5F1" w:themeFill="accent1" w:themeFillTint="33"/>
        <w:rPr>
          <w:rFonts w:ascii="Calibri" w:hAnsi="Calibri"/>
          <w:color w:val="3366FF"/>
          <w:sz w:val="28"/>
        </w:rPr>
      </w:pPr>
      <w:r>
        <w:rPr>
          <w:rFonts w:ascii="Calibri" w:hAnsi="Calibri"/>
          <w:i/>
          <w:color w:val="3366FF"/>
          <w:sz w:val="28"/>
        </w:rPr>
        <w:lastRenderedPageBreak/>
        <w:t>M</w:t>
      </w:r>
      <w:r w:rsidR="00E566D1" w:rsidRPr="001126C1">
        <w:rPr>
          <w:rFonts w:ascii="Calibri" w:hAnsi="Calibri"/>
          <w:i/>
          <w:color w:val="3366FF"/>
          <w:sz w:val="28"/>
        </w:rPr>
        <w:t>odule I/</w:t>
      </w:r>
      <w:r w:rsidR="00FD0CA3" w:rsidRPr="001126C1">
        <w:rPr>
          <w:rFonts w:ascii="Calibri" w:hAnsi="Calibri"/>
          <w:i/>
          <w:color w:val="3366FF"/>
          <w:sz w:val="28"/>
        </w:rPr>
        <w:t>:</w:t>
      </w:r>
      <w:r w:rsidR="00FD0CA3" w:rsidRPr="001126C1">
        <w:rPr>
          <w:rFonts w:ascii="Calibri" w:hAnsi="Calibri"/>
          <w:color w:val="3366FF"/>
          <w:sz w:val="28"/>
        </w:rPr>
        <w:t xml:space="preserve"> mise en place terminologique,</w:t>
      </w:r>
      <w:r w:rsidR="001126C1" w:rsidRPr="001126C1">
        <w:rPr>
          <w:rFonts w:ascii="Calibri" w:hAnsi="Calibri"/>
          <w:color w:val="3366FF"/>
          <w:sz w:val="28"/>
        </w:rPr>
        <w:t xml:space="preserve"> </w:t>
      </w:r>
      <w:r w:rsidR="00FD0CA3" w:rsidRPr="001126C1">
        <w:rPr>
          <w:rFonts w:ascii="Calibri" w:hAnsi="Calibri"/>
          <w:color w:val="3366FF"/>
          <w:sz w:val="28"/>
        </w:rPr>
        <w:t>nosographique et théorique</w:t>
      </w:r>
    </w:p>
    <w:p w14:paraId="26690F1B" w14:textId="77777777" w:rsidR="00FD0CA3" w:rsidRPr="00B22ADF" w:rsidRDefault="00FD0CA3" w:rsidP="00B22ADF">
      <w:pPr>
        <w:pStyle w:val="Titre2"/>
        <w:pBdr>
          <w:top w:val="single" w:sz="4" w:space="1" w:color="0000FF"/>
          <w:left w:val="single" w:sz="4" w:space="4" w:color="0000FF"/>
          <w:bottom w:val="single" w:sz="4" w:space="1" w:color="0000FF"/>
          <w:right w:val="single" w:sz="4" w:space="4" w:color="0000FF"/>
        </w:pBdr>
        <w:shd w:val="clear" w:color="auto" w:fill="DBE5F1" w:themeFill="accent1" w:themeFillTint="33"/>
        <w:spacing w:before="0" w:line="240" w:lineRule="auto"/>
        <w:rPr>
          <w:rFonts w:ascii="Calibri" w:hAnsi="Calibri"/>
          <w:b w:val="0"/>
          <w:color w:val="3366FF"/>
          <w:sz w:val="24"/>
        </w:rPr>
      </w:pPr>
      <w:r w:rsidRPr="00B22ADF">
        <w:rPr>
          <w:rFonts w:ascii="Calibri" w:hAnsi="Calibri"/>
          <w:b w:val="0"/>
          <w:color w:val="3366FF"/>
          <w:sz w:val="24"/>
        </w:rPr>
        <w:t>Le samedi 18 avril 2015</w:t>
      </w:r>
    </w:p>
    <w:p w14:paraId="27753B5A" w14:textId="77777777" w:rsidR="00FB38EB" w:rsidRPr="00B22ADF" w:rsidRDefault="00FD0CA3" w:rsidP="00B22ADF">
      <w:pPr>
        <w:pStyle w:val="Titre2"/>
        <w:pBdr>
          <w:top w:val="single" w:sz="4" w:space="1" w:color="0000FF"/>
          <w:left w:val="single" w:sz="4" w:space="4" w:color="0000FF"/>
          <w:bottom w:val="single" w:sz="4" w:space="1" w:color="0000FF"/>
          <w:right w:val="single" w:sz="4" w:space="4" w:color="0000FF"/>
        </w:pBdr>
        <w:shd w:val="clear" w:color="auto" w:fill="DBE5F1" w:themeFill="accent1" w:themeFillTint="33"/>
        <w:spacing w:before="0" w:line="240" w:lineRule="auto"/>
        <w:rPr>
          <w:rFonts w:ascii="Calibri" w:hAnsi="Calibri"/>
          <w:b w:val="0"/>
          <w:color w:val="3366FF"/>
          <w:sz w:val="24"/>
        </w:rPr>
      </w:pPr>
      <w:r w:rsidRPr="00B22ADF">
        <w:rPr>
          <w:rFonts w:ascii="Calibri" w:hAnsi="Calibri"/>
          <w:b w:val="0"/>
          <w:color w:val="3366FF"/>
          <w:sz w:val="24"/>
        </w:rPr>
        <w:t>Cité des Associations, La Canebière, Marseille</w:t>
      </w:r>
    </w:p>
    <w:p w14:paraId="5772BC8B" w14:textId="77777777" w:rsidR="006A5901" w:rsidRDefault="006A5901" w:rsidP="00FB38EB">
      <w:pPr>
        <w:spacing w:after="0"/>
        <w:rPr>
          <w:sz w:val="20"/>
          <w:szCs w:val="20"/>
        </w:rPr>
      </w:pPr>
    </w:p>
    <w:p w14:paraId="67B7F9F5" w14:textId="77777777" w:rsidR="00FB38EB" w:rsidRPr="00CF6E9D" w:rsidRDefault="00FB38EB" w:rsidP="00FB38EB">
      <w:pPr>
        <w:spacing w:after="0"/>
        <w:rPr>
          <w:sz w:val="20"/>
          <w:szCs w:val="20"/>
        </w:rPr>
      </w:pPr>
      <w:r w:rsidRPr="003B1CB8">
        <w:rPr>
          <w:sz w:val="20"/>
          <w:szCs w:val="20"/>
          <w:u w:val="single"/>
        </w:rPr>
        <w:t>Public :</w:t>
      </w:r>
      <w:r w:rsidRPr="00CF6E9D">
        <w:rPr>
          <w:sz w:val="20"/>
          <w:szCs w:val="20"/>
        </w:rPr>
        <w:t xml:space="preserve"> éducateurs, enseignants, enseignants spécialisées, ergothérapeutes, médecins, orthophonistes, orthoptistes, </w:t>
      </w:r>
      <w:r w:rsidR="00FD0CA3">
        <w:rPr>
          <w:sz w:val="20"/>
          <w:szCs w:val="20"/>
        </w:rPr>
        <w:t xml:space="preserve">psychologues, </w:t>
      </w:r>
      <w:r w:rsidRPr="00CF6E9D">
        <w:rPr>
          <w:sz w:val="20"/>
          <w:szCs w:val="20"/>
        </w:rPr>
        <w:t>psychomotriciens.</w:t>
      </w:r>
    </w:p>
    <w:p w14:paraId="17FD2790" w14:textId="77777777" w:rsidR="00FB38EB" w:rsidRPr="00CF6E9D" w:rsidRDefault="00FB38EB" w:rsidP="00FB38EB">
      <w:pPr>
        <w:spacing w:after="0"/>
      </w:pPr>
    </w:p>
    <w:p w14:paraId="65E386F1" w14:textId="77777777" w:rsidR="00FB38EB" w:rsidRPr="00CF6E9D" w:rsidRDefault="00FB38EB" w:rsidP="00FB38EB">
      <w:pPr>
        <w:spacing w:after="0"/>
      </w:pPr>
      <w:r w:rsidRPr="00CF6E9D">
        <w:t xml:space="preserve">Le concept de Trouble des Apprentissages inclut un certain nombre d’entités ayant toutes en commun : </w:t>
      </w:r>
    </w:p>
    <w:p w14:paraId="64BCBE44" w14:textId="77777777" w:rsidR="00FB38EB" w:rsidRPr="00CF6E9D" w:rsidRDefault="00FB38EB" w:rsidP="00FB38EB">
      <w:pPr>
        <w:spacing w:after="0"/>
      </w:pPr>
      <w:r w:rsidRPr="00CF6E9D">
        <w:t xml:space="preserve">- de compromettre de façon plus ou moins sévère les apprentissages scolaires, en dépit d’une intelligence générale normale ou supérieure, </w:t>
      </w:r>
    </w:p>
    <w:p w14:paraId="37DC1411" w14:textId="77777777" w:rsidR="00FB38EB" w:rsidRPr="00CF6E9D" w:rsidRDefault="00FB38EB" w:rsidP="00FB38EB">
      <w:pPr>
        <w:spacing w:after="0"/>
      </w:pPr>
      <w:r w:rsidRPr="00CF6E9D">
        <w:t>- de relever de mécanismes neurobiologiques encore incomplètement élucidés, mais dont l’évolution des connaissances est en voie de modifier radicalement tant les conceptions que les prises en charge.</w:t>
      </w:r>
    </w:p>
    <w:p w14:paraId="10FA9018" w14:textId="77777777" w:rsidR="00FB38EB" w:rsidRPr="00CF6E9D" w:rsidRDefault="00FB38EB" w:rsidP="00FB38EB">
      <w:pPr>
        <w:spacing w:after="0"/>
      </w:pPr>
      <w:r w:rsidRPr="00CF6E9D">
        <w:t>Ce module est destiné à fournir aux  différents professionnels les éléments de base d’une compréhension globale et moderne des différents troubles concernés (dyslexie, dyscalculie, dyspraxie, troubles de l’attention, etc…), de leurs associations diverses, et ce, dans l’objectif principal d’optimiser leur intégration dans le milieu scolaire.</w:t>
      </w:r>
    </w:p>
    <w:p w14:paraId="777699DE" w14:textId="77777777" w:rsidR="00FB38EB" w:rsidRPr="00CF6E9D" w:rsidRDefault="00FB38EB" w:rsidP="00FB38EB">
      <w:pPr>
        <w:spacing w:after="0"/>
      </w:pPr>
    </w:p>
    <w:p w14:paraId="1BF9DFD9" w14:textId="77777777" w:rsidR="00FB38EB" w:rsidRPr="00CF6E9D" w:rsidRDefault="00CF6E9D" w:rsidP="00FB38EB">
      <w:pPr>
        <w:spacing w:after="0"/>
      </w:pPr>
      <w:r w:rsidRPr="00CF6E9D">
        <w:t xml:space="preserve">En outre, ce module propose des bases simplifiées issues des connaissances récentes en neurosciences afin de mieux comprendre l’apprentissage ainsi que ses troubles, et de forger un ancrage scientifique à leur pratique pédagogique. </w:t>
      </w:r>
    </w:p>
    <w:p w14:paraId="5C0D4798" w14:textId="77777777" w:rsidR="00CF6E9D" w:rsidRPr="00CF6E9D" w:rsidRDefault="00CF6E9D" w:rsidP="00FB38EB">
      <w:pPr>
        <w:spacing w:after="0"/>
      </w:pPr>
    </w:p>
    <w:p w14:paraId="0480822A" w14:textId="77777777" w:rsidR="00CF6E9D" w:rsidRPr="00B658D0" w:rsidRDefault="00B658D0" w:rsidP="00FB38EB">
      <w:pPr>
        <w:spacing w:after="0"/>
        <w:rPr>
          <w:b/>
        </w:rPr>
      </w:pPr>
      <w:r w:rsidRPr="00B658D0">
        <w:rPr>
          <w:b/>
        </w:rPr>
        <w:t>Durée de la formation : 7</w:t>
      </w:r>
      <w:r w:rsidR="00CF6E9D" w:rsidRPr="00B658D0">
        <w:rPr>
          <w:b/>
        </w:rPr>
        <w:t xml:space="preserve">h </w:t>
      </w:r>
    </w:p>
    <w:p w14:paraId="510E46F8" w14:textId="77777777" w:rsidR="00CF6E9D" w:rsidRPr="00CF6E9D" w:rsidRDefault="00CF6E9D" w:rsidP="00FB38EB">
      <w:pPr>
        <w:spacing w:after="0"/>
      </w:pPr>
    </w:p>
    <w:p w14:paraId="2BC57D66" w14:textId="77777777" w:rsidR="00CF6E9D" w:rsidRPr="001126C1" w:rsidRDefault="00CF6E9D" w:rsidP="00B658D0">
      <w:pPr>
        <w:spacing w:after="0" w:line="300" w:lineRule="auto"/>
        <w:jc w:val="both"/>
        <w:rPr>
          <w:b/>
          <w:color w:val="3366FF"/>
          <w:u w:val="single"/>
        </w:rPr>
      </w:pPr>
      <w:r w:rsidRPr="001126C1">
        <w:rPr>
          <w:b/>
          <w:color w:val="3366FF"/>
          <w:u w:val="single"/>
        </w:rPr>
        <w:t>Matin : Dr Michel Habib, neurologue</w:t>
      </w:r>
    </w:p>
    <w:p w14:paraId="52687BB5" w14:textId="77777777" w:rsidR="00CF6E9D" w:rsidRPr="00CF6E9D" w:rsidRDefault="00CF6E9D" w:rsidP="00B658D0">
      <w:pPr>
        <w:spacing w:after="0" w:line="300" w:lineRule="auto"/>
        <w:jc w:val="both"/>
      </w:pPr>
      <w:r w:rsidRPr="00CF6E9D">
        <w:t>I- Généralités</w:t>
      </w:r>
      <w:r>
        <w:t xml:space="preserve"> : </w:t>
      </w:r>
      <w:r w:rsidRPr="00CF6E9D">
        <w:t>Les méthodes des neurosciences appliquées à la pédagogie</w:t>
      </w:r>
      <w:r>
        <w:t xml:space="preserve"> ; </w:t>
      </w:r>
      <w:r w:rsidRPr="00CF6E9D">
        <w:t>Neuropsychologie de la mémoire et de l’apprentissage</w:t>
      </w:r>
      <w:r>
        <w:t xml:space="preserve"> (45mn)</w:t>
      </w:r>
    </w:p>
    <w:p w14:paraId="0D5EBDCD" w14:textId="77777777" w:rsidR="00CF6E9D" w:rsidRPr="00CF6E9D" w:rsidRDefault="00CF6E9D" w:rsidP="00CF6E9D">
      <w:pPr>
        <w:spacing w:after="0" w:line="240" w:lineRule="auto"/>
        <w:jc w:val="both"/>
      </w:pPr>
    </w:p>
    <w:p w14:paraId="06A41C4C" w14:textId="77777777" w:rsidR="00CF6E9D" w:rsidRPr="00CF6E9D" w:rsidRDefault="00CF6E9D" w:rsidP="00CF6E9D">
      <w:pPr>
        <w:spacing w:after="0" w:line="240" w:lineRule="auto"/>
        <w:jc w:val="both"/>
      </w:pPr>
      <w:r w:rsidRPr="00CF6E9D">
        <w:t>II- Neuroscience, langage et lecture</w:t>
      </w:r>
      <w:r>
        <w:t xml:space="preserve"> : </w:t>
      </w:r>
      <w:r w:rsidRPr="00CF6E9D">
        <w:t>Le langage oral et écrit et ses troubles</w:t>
      </w:r>
      <w:r>
        <w:t xml:space="preserve"> (45mn)</w:t>
      </w:r>
    </w:p>
    <w:p w14:paraId="60DE3346" w14:textId="77777777" w:rsidR="00CF6E9D" w:rsidRPr="00CF6E9D" w:rsidRDefault="00CF6E9D" w:rsidP="00CF6E9D">
      <w:pPr>
        <w:spacing w:after="0" w:line="240" w:lineRule="auto"/>
        <w:jc w:val="both"/>
      </w:pPr>
    </w:p>
    <w:p w14:paraId="4761EFF4" w14:textId="77777777" w:rsidR="00CF6E9D" w:rsidRPr="00CF6E9D" w:rsidRDefault="00CF6E9D" w:rsidP="00CF6E9D">
      <w:pPr>
        <w:spacing w:after="0" w:line="240" w:lineRule="auto"/>
        <w:jc w:val="both"/>
      </w:pPr>
      <w:r w:rsidRPr="00CF6E9D">
        <w:t>III- L’espace, le temps, la coordination motrice et le calcul</w:t>
      </w:r>
      <w:r>
        <w:t xml:space="preserve"> : </w:t>
      </w:r>
      <w:r w:rsidRPr="00CF6E9D">
        <w:t xml:space="preserve">Etat actuel des connaissances </w:t>
      </w:r>
      <w:r>
        <w:t>(45mn)</w:t>
      </w:r>
    </w:p>
    <w:p w14:paraId="133F3038" w14:textId="77777777" w:rsidR="00CF6E9D" w:rsidRPr="00CF6E9D" w:rsidRDefault="00CF6E9D" w:rsidP="00CF6E9D">
      <w:pPr>
        <w:spacing w:after="0" w:line="240" w:lineRule="auto"/>
        <w:jc w:val="both"/>
      </w:pPr>
    </w:p>
    <w:p w14:paraId="7A29A03E" w14:textId="77777777" w:rsidR="00CF6E9D" w:rsidRDefault="00CF6E9D" w:rsidP="00CF6E9D">
      <w:pPr>
        <w:spacing w:after="0" w:line="240" w:lineRule="auto"/>
        <w:jc w:val="both"/>
      </w:pPr>
      <w:r w:rsidRPr="00CF6E9D">
        <w:t>IV- Les enfants à besoins éducatifs particuliers : Hyperactivité, HPI, Asperger</w:t>
      </w:r>
      <w:r>
        <w:t xml:space="preserve"> (45mn)</w:t>
      </w:r>
    </w:p>
    <w:p w14:paraId="29F56ACD" w14:textId="77777777" w:rsidR="00CF6E9D" w:rsidRPr="00CF6E9D" w:rsidRDefault="00CF6E9D" w:rsidP="00CF6E9D">
      <w:pPr>
        <w:spacing w:after="0" w:line="240" w:lineRule="auto"/>
        <w:jc w:val="both"/>
      </w:pPr>
    </w:p>
    <w:p w14:paraId="470F131D" w14:textId="77777777" w:rsidR="00CF6E9D" w:rsidRPr="001126C1" w:rsidRDefault="00FD0CA3" w:rsidP="00B658D0">
      <w:pPr>
        <w:spacing w:after="0" w:line="300" w:lineRule="auto"/>
        <w:rPr>
          <w:b/>
          <w:color w:val="3366FF"/>
          <w:u w:val="single"/>
        </w:rPr>
      </w:pPr>
      <w:r w:rsidRPr="001126C1">
        <w:rPr>
          <w:b/>
          <w:color w:val="3366FF"/>
          <w:u w:val="single"/>
        </w:rPr>
        <w:t>Après-midi : Aline Miquée</w:t>
      </w:r>
      <w:r w:rsidR="00CF6E9D" w:rsidRPr="001126C1">
        <w:rPr>
          <w:b/>
          <w:color w:val="3366FF"/>
          <w:u w:val="single"/>
        </w:rPr>
        <w:t>, neuropsycholog</w:t>
      </w:r>
      <w:r w:rsidRPr="001126C1">
        <w:rPr>
          <w:b/>
          <w:color w:val="3366FF"/>
          <w:u w:val="single"/>
        </w:rPr>
        <w:t>ue, et Mélanie Millet</w:t>
      </w:r>
      <w:r w:rsidR="00CF6E9D" w:rsidRPr="001126C1">
        <w:rPr>
          <w:b/>
          <w:color w:val="3366FF"/>
          <w:u w:val="single"/>
        </w:rPr>
        <w:t>, orthophoniste</w:t>
      </w:r>
    </w:p>
    <w:p w14:paraId="285D14CE" w14:textId="77777777" w:rsidR="00CF6E9D" w:rsidRPr="00CF6E9D" w:rsidRDefault="00CF6E9D" w:rsidP="00B658D0">
      <w:pPr>
        <w:spacing w:after="0" w:line="300" w:lineRule="auto"/>
        <w:jc w:val="both"/>
      </w:pPr>
      <w:r w:rsidRPr="00CF6E9D">
        <w:t xml:space="preserve">I - Généralités: La neuropsychologie, ses fondements, ses  méthodes ; Neuropsychologie de la </w:t>
      </w:r>
      <w:r>
        <w:t>mémoire et de l’apprentissage (1</w:t>
      </w:r>
      <w:r w:rsidRPr="00CF6E9D">
        <w:t>h)</w:t>
      </w:r>
    </w:p>
    <w:p w14:paraId="15F3F170" w14:textId="77777777" w:rsidR="00CF6E9D" w:rsidRPr="00CF6E9D" w:rsidRDefault="00CF6E9D" w:rsidP="00CF6E9D">
      <w:pPr>
        <w:spacing w:after="0" w:line="240" w:lineRule="auto"/>
        <w:jc w:val="both"/>
      </w:pPr>
    </w:p>
    <w:p w14:paraId="4A821DEB" w14:textId="77777777" w:rsidR="00CF6E9D" w:rsidRPr="00CF6E9D" w:rsidRDefault="00CF6E9D" w:rsidP="00CF6E9D">
      <w:pPr>
        <w:spacing w:after="0" w:line="240" w:lineRule="auto"/>
        <w:jc w:val="both"/>
      </w:pPr>
      <w:r w:rsidRPr="00CF6E9D">
        <w:t>II - Les troubles du langage écrit et leur incidence à dive</w:t>
      </w:r>
      <w:r>
        <w:t>rses périodes de la scolarité (1</w:t>
      </w:r>
      <w:r w:rsidRPr="00CF6E9D">
        <w:t>h).</w:t>
      </w:r>
    </w:p>
    <w:p w14:paraId="7CC29E1A" w14:textId="77777777" w:rsidR="00CF6E9D" w:rsidRPr="00CF6E9D" w:rsidRDefault="00CF6E9D" w:rsidP="00CF6E9D">
      <w:pPr>
        <w:spacing w:after="0" w:line="240" w:lineRule="auto"/>
        <w:jc w:val="both"/>
      </w:pPr>
    </w:p>
    <w:p w14:paraId="51385490" w14:textId="77777777" w:rsidR="00CF6E9D" w:rsidRPr="00CF6E9D" w:rsidRDefault="00CF6E9D" w:rsidP="00CF6E9D">
      <w:pPr>
        <w:spacing w:after="0" w:line="240" w:lineRule="auto"/>
        <w:jc w:val="both"/>
      </w:pPr>
      <w:r w:rsidRPr="00CF6E9D">
        <w:t>III - Neuropsychologie des aptitudes mathématiques (</w:t>
      </w:r>
      <w:r>
        <w:t>30mn</w:t>
      </w:r>
      <w:r w:rsidRPr="00CF6E9D">
        <w:t>)</w:t>
      </w:r>
    </w:p>
    <w:p w14:paraId="791101BC" w14:textId="77777777" w:rsidR="00CF6E9D" w:rsidRPr="00CF6E9D" w:rsidRDefault="00CF6E9D" w:rsidP="00CF6E9D">
      <w:pPr>
        <w:spacing w:after="0" w:line="240" w:lineRule="auto"/>
        <w:jc w:val="both"/>
      </w:pPr>
    </w:p>
    <w:p w14:paraId="1C7C78F1" w14:textId="77777777" w:rsidR="00CF6E9D" w:rsidRPr="00CF6E9D" w:rsidRDefault="00CF6E9D" w:rsidP="00CF6E9D">
      <w:pPr>
        <w:spacing w:after="0" w:line="240" w:lineRule="auto"/>
        <w:jc w:val="both"/>
      </w:pPr>
      <w:r w:rsidRPr="00CF6E9D">
        <w:t>IV - Psychomotricité et graphomotricité : leur place dans la prise en charge des troubles d’apprentissage (</w:t>
      </w:r>
      <w:r>
        <w:t>30mn</w:t>
      </w:r>
      <w:r w:rsidRPr="00CF6E9D">
        <w:t>)</w:t>
      </w:r>
    </w:p>
    <w:p w14:paraId="6E3881E6" w14:textId="77777777" w:rsidR="00CF6E9D" w:rsidRPr="00CF6E9D" w:rsidRDefault="00CF6E9D" w:rsidP="00CF6E9D">
      <w:pPr>
        <w:spacing w:after="0" w:line="240" w:lineRule="auto"/>
        <w:jc w:val="both"/>
      </w:pPr>
    </w:p>
    <w:p w14:paraId="08DC5848" w14:textId="77777777" w:rsidR="008D106B" w:rsidRDefault="00CF6E9D" w:rsidP="008D106B">
      <w:pPr>
        <w:spacing w:after="0" w:line="240" w:lineRule="auto"/>
        <w:jc w:val="both"/>
      </w:pPr>
      <w:r w:rsidRPr="00CF6E9D">
        <w:t xml:space="preserve">V - Synthèse : </w:t>
      </w:r>
      <w:r w:rsidR="00FD0CA3">
        <w:t>de la nécessaire multidisciplinarité, entre diagnostic et inclusion scolaire</w:t>
      </w:r>
      <w:r>
        <w:t xml:space="preserve"> (1</w:t>
      </w:r>
      <w:r w:rsidRPr="00CF6E9D">
        <w:t>h)</w:t>
      </w:r>
    </w:p>
    <w:p w14:paraId="08338239" w14:textId="77777777" w:rsidR="008157AB" w:rsidRDefault="008157AB" w:rsidP="008D106B">
      <w:pPr>
        <w:spacing w:after="0" w:line="240" w:lineRule="auto"/>
        <w:jc w:val="both"/>
      </w:pPr>
    </w:p>
    <w:p w14:paraId="3B1783CC" w14:textId="77777777" w:rsidR="008157AB" w:rsidRDefault="008157AB" w:rsidP="00FB38EB">
      <w:pPr>
        <w:spacing w:after="0"/>
      </w:pPr>
    </w:p>
    <w:p w14:paraId="102800B4" w14:textId="77777777" w:rsidR="008157AB" w:rsidRDefault="008157AB" w:rsidP="00FB38EB">
      <w:pPr>
        <w:spacing w:after="0"/>
        <w:rPr>
          <w:b/>
          <w:color w:val="3366FF"/>
          <w:sz w:val="24"/>
          <w:szCs w:val="24"/>
          <w:u w:val="single"/>
        </w:rPr>
      </w:pPr>
    </w:p>
    <w:p w14:paraId="2A5A2228" w14:textId="77777777" w:rsidR="00A55D91" w:rsidRDefault="00A55D91" w:rsidP="00FB38EB">
      <w:pPr>
        <w:spacing w:after="0"/>
        <w:rPr>
          <w:b/>
          <w:color w:val="3366FF"/>
          <w:sz w:val="24"/>
          <w:szCs w:val="24"/>
          <w:u w:val="single"/>
        </w:rPr>
      </w:pPr>
    </w:p>
    <w:p w14:paraId="589ABC43" w14:textId="77777777" w:rsidR="00CF6E9D" w:rsidRPr="006A5901" w:rsidRDefault="00CF6E9D" w:rsidP="00FB38EB">
      <w:pPr>
        <w:spacing w:after="0"/>
        <w:rPr>
          <w:b/>
          <w:color w:val="3366FF"/>
          <w:sz w:val="24"/>
          <w:szCs w:val="24"/>
          <w:u w:val="single"/>
        </w:rPr>
      </w:pPr>
      <w:r w:rsidRPr="006A5901">
        <w:rPr>
          <w:b/>
          <w:color w:val="3366FF"/>
          <w:sz w:val="24"/>
          <w:szCs w:val="24"/>
          <w:u w:val="single"/>
        </w:rPr>
        <w:t xml:space="preserve">Formateurs : </w:t>
      </w:r>
    </w:p>
    <w:p w14:paraId="43353F04" w14:textId="77777777" w:rsidR="00E6774E" w:rsidRPr="00724E93" w:rsidRDefault="00E6774E" w:rsidP="00FB38EB">
      <w:pPr>
        <w:spacing w:after="0"/>
        <w:rPr>
          <w:b/>
          <w:sz w:val="24"/>
          <w:szCs w:val="24"/>
          <w:u w:val="single"/>
        </w:rPr>
      </w:pPr>
    </w:p>
    <w:p w14:paraId="6CBF4CC6" w14:textId="77777777" w:rsidR="00CF6E9D" w:rsidRPr="00724E93" w:rsidRDefault="00CF6E9D" w:rsidP="00CF6E9D">
      <w:pPr>
        <w:spacing w:after="0"/>
      </w:pPr>
      <w:r w:rsidRPr="006A5901">
        <w:rPr>
          <w:b/>
          <w:color w:val="3366FF"/>
        </w:rPr>
        <w:t>Michel Habib</w:t>
      </w:r>
      <w:r w:rsidRPr="00724E93">
        <w:t xml:space="preserve"> est neurologue au CHU de Marseille, où il a exercé dans le domaine des troubles cognitifs de l’adulte et de l’enfant avant de se spécialiser progressivement dans les troubles d’apprentissage. Il enseigne la neuropsychologie dans plusieurs universités françaises et outre-Atlantique. Fondateur de la Revue de neuropsychologie, co-responsable de la revue Développement test, auteur de </w:t>
      </w:r>
      <w:r w:rsidR="00724E93" w:rsidRPr="00724E93">
        <w:t>plusieurs ouvrages et article</w:t>
      </w:r>
      <w:r w:rsidRPr="00724E93">
        <w:t>s,</w:t>
      </w:r>
      <w:r w:rsidR="00724E93" w:rsidRPr="00724E93">
        <w:t xml:space="preserve"> I</w:t>
      </w:r>
      <w:r w:rsidRPr="00724E93">
        <w:t>l a consacré ces dix dernières</w:t>
      </w:r>
      <w:r w:rsidR="00724E93" w:rsidRPr="00724E93">
        <w:t xml:space="preserve"> </w:t>
      </w:r>
      <w:r w:rsidRPr="00724E93">
        <w:t>années à mettre en place un réseau</w:t>
      </w:r>
      <w:r w:rsidR="00724E93" w:rsidRPr="00724E93">
        <w:t xml:space="preserve"> </w:t>
      </w:r>
      <w:r w:rsidRPr="00724E93">
        <w:t>de professionnels (Résodys) autour</w:t>
      </w:r>
      <w:r w:rsidR="00724E93" w:rsidRPr="00724E93">
        <w:t xml:space="preserve"> </w:t>
      </w:r>
      <w:r w:rsidRPr="00724E93">
        <w:t>de la dyslexie et des autres troubles</w:t>
      </w:r>
      <w:r w:rsidR="00724E93" w:rsidRPr="00724E93">
        <w:t xml:space="preserve"> </w:t>
      </w:r>
      <w:r w:rsidRPr="00724E93">
        <w:t>d’apprentissage.</w:t>
      </w:r>
    </w:p>
    <w:p w14:paraId="01F13D59" w14:textId="77777777" w:rsidR="00724E93" w:rsidRPr="00724E93" w:rsidRDefault="00724E93" w:rsidP="00FB38EB">
      <w:pPr>
        <w:spacing w:after="0"/>
      </w:pPr>
    </w:p>
    <w:p w14:paraId="1ECB24B9" w14:textId="77777777" w:rsidR="00FD0CA3" w:rsidRPr="00185C5F" w:rsidRDefault="00FD0CA3" w:rsidP="00FD0CA3">
      <w:pPr>
        <w:jc w:val="both"/>
      </w:pPr>
      <w:r w:rsidRPr="006A5901">
        <w:rPr>
          <w:b/>
          <w:color w:val="3366FF"/>
        </w:rPr>
        <w:t>Aline Miquée</w:t>
      </w:r>
      <w:r w:rsidRPr="00185C5F">
        <w:t xml:space="preserve"> est psychologue spécialisée en neuropsychologie. Ch</w:t>
      </w:r>
      <w:r>
        <w:t>ef de service du SESSAD Resodys et</w:t>
      </w:r>
      <w:r w:rsidRPr="00185C5F">
        <w:t xml:space="preserve"> psychol</w:t>
      </w:r>
      <w:r w:rsidR="00E6774E">
        <w:t>o</w:t>
      </w:r>
      <w:r w:rsidRPr="00185C5F">
        <w:t xml:space="preserve">gue </w:t>
      </w:r>
      <w:r>
        <w:t>au sein de l'équipe diagnostic et é</w:t>
      </w:r>
      <w:r w:rsidRPr="00185C5F">
        <w:t>valuation TDAH du service de psychia</w:t>
      </w:r>
      <w:r w:rsidR="00E6774E">
        <w:t>trie infanto-juvénile du Pr DaF</w:t>
      </w:r>
      <w:r w:rsidRPr="00185C5F">
        <w:t xml:space="preserve">onseca où elle assure les évaluations </w:t>
      </w:r>
      <w:r>
        <w:t>neuropsychologiques</w:t>
      </w:r>
      <w:r w:rsidRPr="00185C5F">
        <w:t xml:space="preserve"> e</w:t>
      </w:r>
      <w:r>
        <w:t>t les prises en charge</w:t>
      </w:r>
      <w:r w:rsidRPr="00185C5F">
        <w:t xml:space="preserve"> </w:t>
      </w:r>
      <w:r>
        <w:t>d’</w:t>
      </w:r>
      <w:r w:rsidRPr="00185C5F">
        <w:t>orientation</w:t>
      </w:r>
      <w:r>
        <w:t xml:space="preserve"> cognitivo-comportementale </w:t>
      </w:r>
      <w:r w:rsidRPr="00185C5F">
        <w:t>de l'enfant et</w:t>
      </w:r>
      <w:r>
        <w:t xml:space="preserve"> d</w:t>
      </w:r>
      <w:r w:rsidRPr="00185C5F">
        <w:t>e sa famille</w:t>
      </w:r>
      <w:r>
        <w:t>. Elle intervient également en libéral au sein du CPA Provence. Titulaire d’un doctorat en neurosciences cognitives, elle collabore activement à des projets de recherche autour des thérapies non médicamenteuses du TDAH.</w:t>
      </w:r>
    </w:p>
    <w:p w14:paraId="724C992F" w14:textId="77777777" w:rsidR="00724E93" w:rsidRDefault="00FD0CA3" w:rsidP="00FB38EB">
      <w:pPr>
        <w:spacing w:after="0"/>
      </w:pPr>
      <w:r w:rsidRPr="006A5901">
        <w:rPr>
          <w:b/>
          <w:color w:val="3366FF"/>
        </w:rPr>
        <w:t>Mélanie Millet</w:t>
      </w:r>
      <w:r>
        <w:t xml:space="preserve"> est orthophoniste, elle a rejoint récemment l’équipe du SESSAD Résodys qui accompagne et rééduque des enfants souffrant de troubles sévères d’apprentissage et scolarisés dans les classes spécialisées de l’Education nationale à Marseille. Elle s’est particulièrement formée dans la pratique des bilans de langage oral, écrit et de calcul et propose des approches spécifiques rééducatives </w:t>
      </w:r>
    </w:p>
    <w:p w14:paraId="51EDC98E" w14:textId="77777777" w:rsidR="00A55D91" w:rsidRDefault="00A55D91" w:rsidP="00FB38EB">
      <w:pPr>
        <w:spacing w:after="0"/>
      </w:pPr>
    </w:p>
    <w:p w14:paraId="7F9D97F5" w14:textId="77777777" w:rsidR="00C74DD0" w:rsidRDefault="00C74DD0" w:rsidP="00C74DD0">
      <w:pPr>
        <w:spacing w:after="0"/>
        <w:rPr>
          <w:b/>
          <w:color w:val="3366FF"/>
          <w:sz w:val="24"/>
          <w:szCs w:val="24"/>
          <w:u w:val="single"/>
        </w:rPr>
      </w:pPr>
      <w:r>
        <w:rPr>
          <w:b/>
          <w:color w:val="3366FF"/>
          <w:sz w:val="24"/>
          <w:szCs w:val="24"/>
          <w:u w:val="single"/>
        </w:rPr>
        <w:t xml:space="preserve">Tarifs : </w:t>
      </w:r>
    </w:p>
    <w:p w14:paraId="5BDB83D2" w14:textId="77777777" w:rsidR="00C74DD0" w:rsidRDefault="00C74DD0" w:rsidP="00C74DD0">
      <w:pPr>
        <w:spacing w:after="0"/>
        <w:rPr>
          <w:b/>
          <w:color w:val="3366FF"/>
          <w:sz w:val="24"/>
          <w:szCs w:val="24"/>
          <w:u w:val="single"/>
        </w:rPr>
      </w:pPr>
    </w:p>
    <w:p w14:paraId="0F5CE5D6" w14:textId="77777777" w:rsidR="00C74DD0" w:rsidRPr="00545169" w:rsidRDefault="00C74DD0" w:rsidP="00C74DD0">
      <w:pPr>
        <w:spacing w:after="0" w:line="240" w:lineRule="auto"/>
        <w:rPr>
          <w:color w:val="0070C0"/>
          <w:sz w:val="24"/>
          <w:szCs w:val="24"/>
        </w:rPr>
      </w:pPr>
      <w:r w:rsidRPr="00545169">
        <w:rPr>
          <w:color w:val="0070C0"/>
          <w:sz w:val="24"/>
          <w:szCs w:val="24"/>
        </w:rPr>
        <w:t xml:space="preserve">Professionnels sans prise en charge au titre de la formation professionnelle : </w:t>
      </w:r>
      <w:r w:rsidRPr="00545169">
        <w:rPr>
          <w:b/>
          <w:color w:val="0070C0"/>
          <w:sz w:val="24"/>
          <w:szCs w:val="24"/>
        </w:rPr>
        <w:t>85€</w:t>
      </w:r>
    </w:p>
    <w:p w14:paraId="79E9EE59" w14:textId="77777777" w:rsidR="00C74DD0" w:rsidRPr="00545169" w:rsidRDefault="00C74DD0" w:rsidP="00C74DD0">
      <w:pPr>
        <w:spacing w:after="0" w:line="240" w:lineRule="auto"/>
        <w:rPr>
          <w:color w:val="0070C0"/>
          <w:sz w:val="24"/>
          <w:szCs w:val="24"/>
        </w:rPr>
      </w:pPr>
      <w:r w:rsidRPr="00545169">
        <w:rPr>
          <w:color w:val="0070C0"/>
          <w:sz w:val="24"/>
          <w:szCs w:val="24"/>
        </w:rPr>
        <w:t xml:space="preserve">Professionnels avec prise en charge au titre de la formation professionnelle : </w:t>
      </w:r>
      <w:r w:rsidRPr="00545169">
        <w:rPr>
          <w:b/>
          <w:color w:val="0070C0"/>
          <w:sz w:val="24"/>
          <w:szCs w:val="24"/>
        </w:rPr>
        <w:t>125€</w:t>
      </w:r>
    </w:p>
    <w:p w14:paraId="1E69C199" w14:textId="77777777" w:rsidR="00C74DD0" w:rsidRPr="00C74DD0" w:rsidRDefault="00C74DD0" w:rsidP="00C74DD0">
      <w:pPr>
        <w:spacing w:after="0" w:line="240" w:lineRule="auto"/>
        <w:rPr>
          <w:color w:val="0070C0"/>
          <w:sz w:val="24"/>
          <w:szCs w:val="24"/>
        </w:rPr>
      </w:pPr>
      <w:r w:rsidRPr="00545169">
        <w:rPr>
          <w:color w:val="0070C0"/>
          <w:sz w:val="24"/>
          <w:szCs w:val="24"/>
        </w:rPr>
        <w:t>Etudiants et demandeurs d’emploi </w:t>
      </w:r>
      <w:r>
        <w:rPr>
          <w:color w:val="0070C0"/>
          <w:sz w:val="24"/>
          <w:szCs w:val="24"/>
        </w:rPr>
        <w:t>(avec présentation de justificatif)</w:t>
      </w:r>
      <w:r w:rsidRPr="00545169">
        <w:rPr>
          <w:color w:val="0070C0"/>
          <w:sz w:val="24"/>
          <w:szCs w:val="24"/>
        </w:rPr>
        <w:t xml:space="preserve">: </w:t>
      </w:r>
      <w:r w:rsidRPr="00545169">
        <w:rPr>
          <w:b/>
          <w:color w:val="0070C0"/>
          <w:sz w:val="24"/>
          <w:szCs w:val="24"/>
        </w:rPr>
        <w:t>60€</w:t>
      </w:r>
    </w:p>
    <w:p w14:paraId="5A34C866" w14:textId="77777777" w:rsidR="00724E93" w:rsidRDefault="00724E93" w:rsidP="00FB38EB">
      <w:pPr>
        <w:spacing w:after="0"/>
        <w:rPr>
          <w:sz w:val="24"/>
          <w:szCs w:val="24"/>
        </w:rPr>
      </w:pPr>
    </w:p>
    <w:p w14:paraId="35F8C546" w14:textId="77777777" w:rsidR="00CF6E9D" w:rsidRDefault="00724E93" w:rsidP="00724E93">
      <w:pPr>
        <w:spacing w:after="0"/>
        <w:jc w:val="center"/>
        <w:rPr>
          <w:b/>
          <w:sz w:val="24"/>
          <w:szCs w:val="24"/>
          <w:u w:val="single"/>
        </w:rPr>
      </w:pPr>
      <w:r>
        <w:rPr>
          <w:b/>
          <w:sz w:val="24"/>
          <w:szCs w:val="24"/>
          <w:u w:val="single"/>
        </w:rPr>
        <w:t>DATE ET LIEU DE LA FORMATION</w:t>
      </w:r>
    </w:p>
    <w:p w14:paraId="23B4EE91" w14:textId="77777777" w:rsidR="00724E93" w:rsidRDefault="00724E93" w:rsidP="00724E93">
      <w:pPr>
        <w:spacing w:after="0"/>
        <w:jc w:val="center"/>
        <w:rPr>
          <w:sz w:val="24"/>
          <w:szCs w:val="24"/>
        </w:rPr>
      </w:pPr>
      <w:r>
        <w:rPr>
          <w:sz w:val="24"/>
          <w:szCs w:val="24"/>
        </w:rPr>
        <w:t xml:space="preserve">Le </w:t>
      </w:r>
      <w:r w:rsidR="00E6774E">
        <w:rPr>
          <w:sz w:val="24"/>
          <w:szCs w:val="24"/>
        </w:rPr>
        <w:t>samedi 18 avril 2015</w:t>
      </w:r>
    </w:p>
    <w:p w14:paraId="6F30E5DF" w14:textId="77777777" w:rsidR="00724E93" w:rsidRDefault="00724E93" w:rsidP="00724E93">
      <w:pPr>
        <w:spacing w:after="0"/>
        <w:jc w:val="center"/>
        <w:rPr>
          <w:sz w:val="24"/>
          <w:szCs w:val="24"/>
        </w:rPr>
      </w:pPr>
      <w:r>
        <w:rPr>
          <w:sz w:val="24"/>
          <w:szCs w:val="24"/>
        </w:rPr>
        <w:t>Cité des Associations – 93, la Canebière – 13001 Marseille</w:t>
      </w:r>
    </w:p>
    <w:p w14:paraId="41EF9ADE" w14:textId="77777777" w:rsidR="00724E93" w:rsidRDefault="00724E93" w:rsidP="00724E93">
      <w:pPr>
        <w:spacing w:after="0"/>
        <w:jc w:val="center"/>
        <w:rPr>
          <w:sz w:val="24"/>
          <w:szCs w:val="24"/>
        </w:rPr>
      </w:pPr>
      <w:r>
        <w:rPr>
          <w:sz w:val="24"/>
          <w:szCs w:val="24"/>
        </w:rPr>
        <w:t>Horaires : 9h-17h</w:t>
      </w:r>
    </w:p>
    <w:p w14:paraId="60633CE5" w14:textId="3DA61D16" w:rsidR="00724E93" w:rsidRDefault="00724E93" w:rsidP="0033435E">
      <w:pPr>
        <w:spacing w:after="0"/>
        <w:jc w:val="center"/>
        <w:rPr>
          <w:sz w:val="24"/>
          <w:szCs w:val="24"/>
        </w:rPr>
      </w:pPr>
      <w:r>
        <w:rPr>
          <w:sz w:val="24"/>
          <w:szCs w:val="24"/>
        </w:rPr>
        <w:t>Informations sur www.resodys.org</w:t>
      </w:r>
      <w:bookmarkStart w:id="0" w:name="_GoBack"/>
      <w:bookmarkEnd w:id="0"/>
    </w:p>
    <w:p w14:paraId="5A2406EA" w14:textId="77777777" w:rsidR="00724E93" w:rsidRPr="00724E93" w:rsidRDefault="00724E93" w:rsidP="00724E93">
      <w:pPr>
        <w:spacing w:after="0"/>
        <w:rPr>
          <w:b/>
          <w:sz w:val="24"/>
          <w:szCs w:val="24"/>
          <w:u w:val="single"/>
        </w:rPr>
      </w:pPr>
      <w:r w:rsidRPr="00724E93">
        <w:rPr>
          <w:b/>
          <w:sz w:val="24"/>
          <w:szCs w:val="24"/>
          <w:u w:val="single"/>
        </w:rPr>
        <w:t xml:space="preserve">Plan et accès : </w:t>
      </w:r>
    </w:p>
    <w:p w14:paraId="332A242A" w14:textId="77777777" w:rsidR="00CF6E9D" w:rsidRPr="00CF6E9D" w:rsidRDefault="003A0A81" w:rsidP="00FB38EB">
      <w:pPr>
        <w:spacing w:after="0"/>
        <w:rPr>
          <w:sz w:val="24"/>
          <w:szCs w:val="24"/>
        </w:rPr>
      </w:pPr>
      <w:r>
        <w:rPr>
          <w:noProof/>
          <w:sz w:val="24"/>
          <w:szCs w:val="24"/>
          <w:lang w:eastAsia="fr-FR"/>
        </w:rPr>
        <mc:AlternateContent>
          <mc:Choice Requires="wps">
            <w:drawing>
              <wp:anchor distT="0" distB="0" distL="114300" distR="114300" simplePos="0" relativeHeight="251658240" behindDoc="0" locked="0" layoutInCell="1" allowOverlap="1" wp14:anchorId="7DCE2D97" wp14:editId="69B8085E">
                <wp:simplePos x="0" y="0"/>
                <wp:positionH relativeFrom="column">
                  <wp:posOffset>3725545</wp:posOffset>
                </wp:positionH>
                <wp:positionV relativeFrom="paragraph">
                  <wp:posOffset>711835</wp:posOffset>
                </wp:positionV>
                <wp:extent cx="2670175" cy="876300"/>
                <wp:effectExtent l="0" t="0" r="2222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876300"/>
                        </a:xfrm>
                        <a:prstGeom prst="rect">
                          <a:avLst/>
                        </a:prstGeom>
                        <a:solidFill>
                          <a:srgbClr val="FFFFFF"/>
                        </a:solidFill>
                        <a:ln w="9525">
                          <a:solidFill>
                            <a:srgbClr val="000000"/>
                          </a:solidFill>
                          <a:miter lim="800000"/>
                          <a:headEnd/>
                          <a:tailEnd/>
                        </a:ln>
                      </wps:spPr>
                      <wps:txbx>
                        <w:txbxContent>
                          <w:p w14:paraId="42FA8067" w14:textId="77777777" w:rsidR="00F66366" w:rsidRPr="0095190F" w:rsidRDefault="00F66366" w:rsidP="00724E93">
                            <w:pPr>
                              <w:rPr>
                                <w:sz w:val="20"/>
                                <w:szCs w:val="20"/>
                              </w:rPr>
                            </w:pPr>
                            <w:r w:rsidRPr="0095190F">
                              <w:rPr>
                                <w:b/>
                                <w:sz w:val="20"/>
                                <w:szCs w:val="20"/>
                              </w:rPr>
                              <w:t>Métro ligne 2 :</w:t>
                            </w:r>
                            <w:r w:rsidRPr="0095190F">
                              <w:rPr>
                                <w:sz w:val="20"/>
                                <w:szCs w:val="20"/>
                              </w:rPr>
                              <w:t xml:space="preserve"> Arrêt Noailles </w:t>
                            </w:r>
                          </w:p>
                          <w:p w14:paraId="1F1CCDD4" w14:textId="77777777" w:rsidR="00F66366" w:rsidRPr="0095190F" w:rsidRDefault="00F66366" w:rsidP="00724E93">
                            <w:pPr>
                              <w:rPr>
                                <w:sz w:val="20"/>
                                <w:szCs w:val="20"/>
                              </w:rPr>
                            </w:pPr>
                            <w:r w:rsidRPr="0095190F">
                              <w:rPr>
                                <w:b/>
                                <w:sz w:val="20"/>
                                <w:szCs w:val="20"/>
                              </w:rPr>
                              <w:t>Tramway ligne 1 :</w:t>
                            </w:r>
                            <w:r w:rsidRPr="0095190F">
                              <w:rPr>
                                <w:sz w:val="20"/>
                                <w:szCs w:val="20"/>
                              </w:rPr>
                              <w:t xml:space="preserve"> Arrêt Noailles</w:t>
                            </w:r>
                          </w:p>
                          <w:p w14:paraId="2F1112C3" w14:textId="77777777" w:rsidR="00F66366" w:rsidRPr="0095190F" w:rsidRDefault="00F66366" w:rsidP="00724E93">
                            <w:pPr>
                              <w:rPr>
                                <w:sz w:val="20"/>
                                <w:szCs w:val="20"/>
                              </w:rPr>
                            </w:pPr>
                            <w:r w:rsidRPr="0095190F">
                              <w:rPr>
                                <w:b/>
                                <w:sz w:val="20"/>
                                <w:szCs w:val="20"/>
                              </w:rPr>
                              <w:t>Tramway ligne 2 :</w:t>
                            </w:r>
                            <w:r w:rsidRPr="0095190F">
                              <w:rPr>
                                <w:sz w:val="20"/>
                                <w:szCs w:val="20"/>
                              </w:rPr>
                              <w:t xml:space="preserve"> Arrêt Garibaldi-Canebière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93.35pt;margin-top:56.05pt;width:210.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">
                <v:textbox>
                  <w:txbxContent>
                    <w:p w14:paraId="42FA8067" w14:textId="77777777" w:rsidR="00F66366" w:rsidRPr="0095190F" w:rsidRDefault="00F66366" w:rsidP="00724E93">
                      <w:pPr>
                        <w:rPr>
                          <w:sz w:val="20"/>
                          <w:szCs w:val="20"/>
                        </w:rPr>
                      </w:pPr>
                      <w:r w:rsidRPr="0095190F">
                        <w:rPr>
                          <w:b/>
                          <w:sz w:val="20"/>
                          <w:szCs w:val="20"/>
                        </w:rPr>
                        <w:t>Métro ligne 2 :</w:t>
                      </w:r>
                      <w:r w:rsidRPr="0095190F">
                        <w:rPr>
                          <w:sz w:val="20"/>
                          <w:szCs w:val="20"/>
                        </w:rPr>
                        <w:t xml:space="preserve"> Arrêt Noailles </w:t>
                      </w:r>
                    </w:p>
                    <w:p w14:paraId="1F1CCDD4" w14:textId="77777777" w:rsidR="00F66366" w:rsidRPr="0095190F" w:rsidRDefault="00F66366" w:rsidP="00724E93">
                      <w:pPr>
                        <w:rPr>
                          <w:sz w:val="20"/>
                          <w:szCs w:val="20"/>
                        </w:rPr>
                      </w:pPr>
                      <w:r w:rsidRPr="0095190F">
                        <w:rPr>
                          <w:b/>
                          <w:sz w:val="20"/>
                          <w:szCs w:val="20"/>
                        </w:rPr>
                        <w:t>Tramway ligne 1 :</w:t>
                      </w:r>
                      <w:r w:rsidRPr="0095190F">
                        <w:rPr>
                          <w:sz w:val="20"/>
                          <w:szCs w:val="20"/>
                        </w:rPr>
                        <w:t xml:space="preserve"> Arrêt Noailles</w:t>
                      </w:r>
                    </w:p>
                    <w:p w14:paraId="2F1112C3" w14:textId="77777777" w:rsidR="00F66366" w:rsidRPr="0095190F" w:rsidRDefault="00F66366" w:rsidP="00724E93">
                      <w:pPr>
                        <w:rPr>
                          <w:sz w:val="20"/>
                          <w:szCs w:val="20"/>
                        </w:rPr>
                      </w:pPr>
                      <w:r w:rsidRPr="0095190F">
                        <w:rPr>
                          <w:b/>
                          <w:sz w:val="20"/>
                          <w:szCs w:val="20"/>
                        </w:rPr>
                        <w:t>Tramway ligne 2 :</w:t>
                      </w:r>
                      <w:r w:rsidRPr="0095190F">
                        <w:rPr>
                          <w:sz w:val="20"/>
                          <w:szCs w:val="20"/>
                        </w:rPr>
                        <w:t xml:space="preserve"> Arrêt Garibaldi-Canebière </w:t>
                      </w:r>
                    </w:p>
                  </w:txbxContent>
                </v:textbox>
              </v:shape>
            </w:pict>
          </mc:Fallback>
        </mc:AlternateContent>
      </w:r>
      <w:r w:rsidR="00724E93" w:rsidRPr="00724E93">
        <w:rPr>
          <w:noProof/>
          <w:sz w:val="24"/>
          <w:szCs w:val="24"/>
          <w:lang w:eastAsia="fr-FR"/>
        </w:rPr>
        <w:drawing>
          <wp:inline distT="0" distB="0" distL="0" distR="0" wp14:anchorId="5425EA92" wp14:editId="4DA4B682">
            <wp:extent cx="3329791" cy="2682245"/>
            <wp:effectExtent l="19050" t="0" r="3959" b="0"/>
            <wp:docPr id="1" name="Image 1" descr="C:\Users\alice tortel\Desktop\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tortel\Desktop\Sans titre.jpg"/>
                    <pic:cNvPicPr>
                      <a:picLocks noChangeAspect="1" noChangeArrowheads="1"/>
                    </pic:cNvPicPr>
                  </pic:nvPicPr>
                  <pic:blipFill>
                    <a:blip r:embed="rId7" cstate="print"/>
                    <a:srcRect/>
                    <a:stretch>
                      <a:fillRect/>
                    </a:stretch>
                  </pic:blipFill>
                  <pic:spPr bwMode="auto">
                    <a:xfrm>
                      <a:off x="0" y="0"/>
                      <a:ext cx="3356349" cy="2703638"/>
                    </a:xfrm>
                    <a:prstGeom prst="rect">
                      <a:avLst/>
                    </a:prstGeom>
                    <a:noFill/>
                    <a:ln w="9525">
                      <a:noFill/>
                      <a:miter lim="800000"/>
                      <a:headEnd/>
                      <a:tailEnd/>
                    </a:ln>
                  </pic:spPr>
                </pic:pic>
              </a:graphicData>
            </a:graphic>
          </wp:inline>
        </w:drawing>
      </w:r>
    </w:p>
    <w:sectPr w:rsidR="00CF6E9D" w:rsidRPr="00CF6E9D" w:rsidSect="008157AB">
      <w:pgSz w:w="11906" w:h="16838"/>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EB"/>
    <w:rsid w:val="000774D4"/>
    <w:rsid w:val="000A532E"/>
    <w:rsid w:val="001126C1"/>
    <w:rsid w:val="0012083D"/>
    <w:rsid w:val="001B498E"/>
    <w:rsid w:val="00212E4F"/>
    <w:rsid w:val="002219ED"/>
    <w:rsid w:val="00232631"/>
    <w:rsid w:val="00246EAB"/>
    <w:rsid w:val="0033435E"/>
    <w:rsid w:val="003A0A81"/>
    <w:rsid w:val="003B1CB8"/>
    <w:rsid w:val="00545169"/>
    <w:rsid w:val="005D77B5"/>
    <w:rsid w:val="00607EA6"/>
    <w:rsid w:val="006A5901"/>
    <w:rsid w:val="006C01E1"/>
    <w:rsid w:val="00724E93"/>
    <w:rsid w:val="008157AB"/>
    <w:rsid w:val="008D106B"/>
    <w:rsid w:val="009617E4"/>
    <w:rsid w:val="009A7BD6"/>
    <w:rsid w:val="00A55D91"/>
    <w:rsid w:val="00A56269"/>
    <w:rsid w:val="00A91D0F"/>
    <w:rsid w:val="00AD3A9E"/>
    <w:rsid w:val="00B22ADF"/>
    <w:rsid w:val="00B658D0"/>
    <w:rsid w:val="00C13387"/>
    <w:rsid w:val="00C74DD0"/>
    <w:rsid w:val="00CF6E9D"/>
    <w:rsid w:val="00E33BFA"/>
    <w:rsid w:val="00E566D1"/>
    <w:rsid w:val="00E6774E"/>
    <w:rsid w:val="00EB5BB2"/>
    <w:rsid w:val="00F66366"/>
    <w:rsid w:val="00FB38EB"/>
    <w:rsid w:val="00FD0CA3"/>
    <w:rsid w:val="00FF53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C08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9E"/>
  </w:style>
  <w:style w:type="paragraph" w:styleId="Titre1">
    <w:name w:val="heading 1"/>
    <w:basedOn w:val="Normal"/>
    <w:next w:val="Normal"/>
    <w:link w:val="Titre1Car"/>
    <w:uiPriority w:val="9"/>
    <w:qFormat/>
    <w:rsid w:val="00F6636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fr-CA" w:eastAsia="fr-FR"/>
    </w:rPr>
  </w:style>
  <w:style w:type="paragraph" w:styleId="Titre2">
    <w:name w:val="heading 2"/>
    <w:basedOn w:val="Normal"/>
    <w:next w:val="Normal"/>
    <w:link w:val="Titre2Car"/>
    <w:uiPriority w:val="9"/>
    <w:unhideWhenUsed/>
    <w:qFormat/>
    <w:rsid w:val="001126C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4E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E93"/>
    <w:rPr>
      <w:rFonts w:ascii="Tahoma" w:hAnsi="Tahoma" w:cs="Tahoma"/>
      <w:sz w:val="16"/>
      <w:szCs w:val="16"/>
    </w:rPr>
  </w:style>
  <w:style w:type="character" w:customStyle="1" w:styleId="Titre2Car">
    <w:name w:val="Titre 2 Car"/>
    <w:basedOn w:val="Policepardfaut"/>
    <w:link w:val="Titre2"/>
    <w:uiPriority w:val="9"/>
    <w:rsid w:val="001126C1"/>
    <w:rPr>
      <w:rFonts w:asciiTheme="majorHAnsi" w:eastAsiaTheme="majorEastAsia" w:hAnsiTheme="majorHAnsi" w:cstheme="majorBidi"/>
      <w:b/>
      <w:bCs/>
      <w:color w:val="4F81BD" w:themeColor="accent1"/>
      <w:sz w:val="26"/>
      <w:szCs w:val="26"/>
    </w:rPr>
  </w:style>
  <w:style w:type="table" w:styleId="Grille">
    <w:name w:val="Table Grid"/>
    <w:basedOn w:val="TableauNormal"/>
    <w:uiPriority w:val="59"/>
    <w:rsid w:val="00B2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F66366"/>
    <w:rPr>
      <w:rFonts w:asciiTheme="majorHAnsi" w:eastAsiaTheme="majorEastAsia" w:hAnsiTheme="majorHAnsi" w:cstheme="majorBidi"/>
      <w:b/>
      <w:bCs/>
      <w:color w:val="345A8A" w:themeColor="accent1" w:themeShade="B5"/>
      <w:sz w:val="32"/>
      <w:szCs w:val="32"/>
      <w:lang w:val="fr-CA"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9E"/>
  </w:style>
  <w:style w:type="paragraph" w:styleId="Titre1">
    <w:name w:val="heading 1"/>
    <w:basedOn w:val="Normal"/>
    <w:next w:val="Normal"/>
    <w:link w:val="Titre1Car"/>
    <w:uiPriority w:val="9"/>
    <w:qFormat/>
    <w:rsid w:val="00F6636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fr-CA" w:eastAsia="fr-FR"/>
    </w:rPr>
  </w:style>
  <w:style w:type="paragraph" w:styleId="Titre2">
    <w:name w:val="heading 2"/>
    <w:basedOn w:val="Normal"/>
    <w:next w:val="Normal"/>
    <w:link w:val="Titre2Car"/>
    <w:uiPriority w:val="9"/>
    <w:unhideWhenUsed/>
    <w:qFormat/>
    <w:rsid w:val="001126C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4E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E93"/>
    <w:rPr>
      <w:rFonts w:ascii="Tahoma" w:hAnsi="Tahoma" w:cs="Tahoma"/>
      <w:sz w:val="16"/>
      <w:szCs w:val="16"/>
    </w:rPr>
  </w:style>
  <w:style w:type="character" w:customStyle="1" w:styleId="Titre2Car">
    <w:name w:val="Titre 2 Car"/>
    <w:basedOn w:val="Policepardfaut"/>
    <w:link w:val="Titre2"/>
    <w:uiPriority w:val="9"/>
    <w:rsid w:val="001126C1"/>
    <w:rPr>
      <w:rFonts w:asciiTheme="majorHAnsi" w:eastAsiaTheme="majorEastAsia" w:hAnsiTheme="majorHAnsi" w:cstheme="majorBidi"/>
      <w:b/>
      <w:bCs/>
      <w:color w:val="4F81BD" w:themeColor="accent1"/>
      <w:sz w:val="26"/>
      <w:szCs w:val="26"/>
    </w:rPr>
  </w:style>
  <w:style w:type="table" w:styleId="Grille">
    <w:name w:val="Table Grid"/>
    <w:basedOn w:val="TableauNormal"/>
    <w:uiPriority w:val="59"/>
    <w:rsid w:val="00B2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F66366"/>
    <w:rPr>
      <w:rFonts w:asciiTheme="majorHAnsi" w:eastAsiaTheme="majorEastAsia" w:hAnsiTheme="majorHAnsi" w:cstheme="majorBidi"/>
      <w:b/>
      <w:bCs/>
      <w:color w:val="345A8A" w:themeColor="accent1" w:themeShade="B5"/>
      <w:sz w:val="32"/>
      <w:szCs w:val="32"/>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5858</Characters>
  <Application>Microsoft Macintosh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 khamis</dc:creator>
  <cp:lastModifiedBy>Michel Habib</cp:lastModifiedBy>
  <cp:revision>5</cp:revision>
  <cp:lastPrinted>2015-02-17T14:48:00Z</cp:lastPrinted>
  <dcterms:created xsi:type="dcterms:W3CDTF">2015-02-17T15:44:00Z</dcterms:created>
  <dcterms:modified xsi:type="dcterms:W3CDTF">2015-02-17T15:45:00Z</dcterms:modified>
</cp:coreProperties>
</file>